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64" w:rsidRPr="00384E47" w:rsidRDefault="007F4E64" w:rsidP="00824F9B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</w:pP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Извещение</w:t>
      </w:r>
    </w:p>
    <w:p w:rsidR="00CA7C9A" w:rsidRPr="00384E47" w:rsidRDefault="007F4E64" w:rsidP="003C2E5D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</w:pP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о принятии решения </w:t>
      </w:r>
      <w:r w:rsidR="00F55820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о </w:t>
      </w:r>
      <w:r w:rsidR="00F05BE8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проведении </w:t>
      </w:r>
      <w:r w:rsidR="001A5BCF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в 20</w:t>
      </w:r>
      <w:r w:rsidR="00E07E55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20</w:t>
      </w:r>
      <w:r w:rsidR="001A5BCF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 году </w:t>
      </w:r>
      <w:r w:rsidR="0013707C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(по состоянию на 1 января 20</w:t>
      </w:r>
      <w:r w:rsidR="00E07E55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20</w:t>
      </w:r>
      <w:r w:rsidR="0013707C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года) </w:t>
      </w:r>
      <w:r w:rsidR="00F05BE8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государственной кадастровой оценки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</w:t>
      </w:r>
      <w:r w:rsidR="00E07E55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земель </w:t>
      </w:r>
      <w:r w:rsidR="001A5BCF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на территории Тульской области и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о приеме ГУ ТО «Областное БТИ» деклараций</w:t>
      </w:r>
      <w:r w:rsidR="00EB4193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о характеристиках объектов недвижимости</w:t>
      </w:r>
    </w:p>
    <w:p w:rsidR="00CA7C9A" w:rsidRPr="00384E47" w:rsidRDefault="00CA7C9A" w:rsidP="00824F9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7E55" w:rsidRPr="00384E47" w:rsidRDefault="00E07E55" w:rsidP="00B03003">
      <w:pPr>
        <w:pStyle w:val="ad"/>
        <w:ind w:firstLine="709"/>
        <w:rPr>
          <w:rFonts w:ascii="PT Astra Serif" w:hAnsi="PT Astra Serif"/>
        </w:rPr>
      </w:pPr>
      <w:r w:rsidRPr="00384E47">
        <w:rPr>
          <w:rFonts w:ascii="PT Astra Serif" w:hAnsi="PT Astra Serif"/>
          <w:szCs w:val="28"/>
        </w:rPr>
        <w:t xml:space="preserve">Постановлением правительства Тульской области от 26.08.2019 № 395 «О проведении государственной кадастровой оценки земель на территории Тульской области» принято решение о проведении в 2020 году (по состоянию на 1 января 2020 года) на территории Тульской области </w:t>
      </w:r>
      <w:r w:rsidRPr="00384E47">
        <w:rPr>
          <w:rFonts w:ascii="PT Astra Serif" w:hAnsi="PT Astra Serif"/>
        </w:rPr>
        <w:t>государственной кадастровой оценки в отношении земельных участков в составе следующих категорий земель:</w:t>
      </w:r>
    </w:p>
    <w:p w:rsidR="00E07E55" w:rsidRPr="00384E47" w:rsidRDefault="00E07E55" w:rsidP="00B0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4E47">
        <w:rPr>
          <w:rFonts w:ascii="PT Astra Serif" w:hAnsi="PT Astra Serif" w:cs="PT Astra Serif"/>
          <w:sz w:val="28"/>
          <w:szCs w:val="28"/>
        </w:rPr>
        <w:t xml:space="preserve">земель </w:t>
      </w:r>
      <w:hyperlink r:id="rId7" w:history="1">
        <w:r w:rsidRPr="00384E47">
          <w:rPr>
            <w:rFonts w:ascii="PT Astra Serif" w:hAnsi="PT Astra Serif" w:cs="PT Astra Serif"/>
            <w:sz w:val="28"/>
            <w:szCs w:val="28"/>
          </w:rPr>
          <w:t>сельскохозяйственного назначения</w:t>
        </w:r>
      </w:hyperlink>
      <w:r w:rsidRPr="00384E47">
        <w:rPr>
          <w:rFonts w:ascii="PT Astra Serif" w:hAnsi="PT Astra Serif" w:cs="PT Astra Serif"/>
          <w:sz w:val="28"/>
          <w:szCs w:val="28"/>
        </w:rPr>
        <w:t>;</w:t>
      </w:r>
    </w:p>
    <w:p w:rsidR="00E07E55" w:rsidRPr="00384E47" w:rsidRDefault="00E07E55" w:rsidP="00B0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4E47">
        <w:rPr>
          <w:rFonts w:ascii="PT Astra Serif" w:hAnsi="PT Astra Serif" w:cs="PT Astra Serif"/>
          <w:sz w:val="28"/>
          <w:szCs w:val="28"/>
        </w:rPr>
        <w:t xml:space="preserve">земель </w:t>
      </w:r>
      <w:hyperlink r:id="rId8" w:history="1">
        <w:r w:rsidRPr="00384E47">
          <w:rPr>
            <w:rFonts w:ascii="PT Astra Serif" w:hAnsi="PT Astra Serif" w:cs="PT Astra Serif"/>
            <w:sz w:val="28"/>
            <w:szCs w:val="28"/>
          </w:rPr>
          <w:t>населенных пунктов</w:t>
        </w:r>
      </w:hyperlink>
      <w:r w:rsidRPr="00384E47">
        <w:rPr>
          <w:rFonts w:ascii="PT Astra Serif" w:hAnsi="PT Astra Serif" w:cs="PT Astra Serif"/>
          <w:sz w:val="28"/>
          <w:szCs w:val="28"/>
        </w:rPr>
        <w:t>;</w:t>
      </w:r>
    </w:p>
    <w:p w:rsidR="00E07E55" w:rsidRPr="00384E47" w:rsidRDefault="000163B5" w:rsidP="00B0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9" w:history="1">
        <w:r w:rsidR="00E07E55" w:rsidRPr="00384E47">
          <w:rPr>
            <w:rFonts w:ascii="PT Astra Serif" w:hAnsi="PT Astra Serif" w:cs="PT Astra Serif"/>
            <w:sz w:val="28"/>
            <w:szCs w:val="28"/>
          </w:rPr>
          <w:t>земель</w:t>
        </w:r>
      </w:hyperlink>
      <w:r w:rsidR="00E07E55" w:rsidRPr="00384E47">
        <w:rPr>
          <w:rFonts w:ascii="PT Astra Serif" w:hAnsi="PT Astra Serif" w:cs="PT Astra Serif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E07E55" w:rsidRPr="00384E47" w:rsidRDefault="00E07E55" w:rsidP="00B03003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4E47">
        <w:rPr>
          <w:rFonts w:ascii="PT Astra Serif" w:hAnsi="PT Astra Serif" w:cs="PT Astra Serif"/>
          <w:sz w:val="28"/>
          <w:szCs w:val="28"/>
        </w:rPr>
        <w:t xml:space="preserve">земель особо охраняемых </w:t>
      </w:r>
      <w:hyperlink r:id="rId10" w:history="1">
        <w:r w:rsidRPr="00384E47">
          <w:rPr>
            <w:rFonts w:ascii="PT Astra Serif" w:hAnsi="PT Astra Serif" w:cs="PT Astra Serif"/>
            <w:sz w:val="28"/>
            <w:szCs w:val="28"/>
          </w:rPr>
          <w:t>территорий и объектов</w:t>
        </w:r>
      </w:hyperlink>
      <w:r w:rsidRPr="00384E47">
        <w:rPr>
          <w:rFonts w:ascii="PT Astra Serif" w:hAnsi="PT Astra Serif" w:cs="PT Astra Serif"/>
          <w:sz w:val="28"/>
          <w:szCs w:val="28"/>
        </w:rPr>
        <w:t>.</w:t>
      </w:r>
    </w:p>
    <w:p w:rsidR="00E07E55" w:rsidRPr="00384E47" w:rsidRDefault="00E07E55" w:rsidP="00B03003">
      <w:pPr>
        <w:pStyle w:val="ad"/>
        <w:ind w:firstLine="709"/>
        <w:contextualSpacing/>
        <w:rPr>
          <w:rFonts w:ascii="PT Astra Serif" w:hAnsi="PT Astra Serif"/>
          <w:szCs w:val="28"/>
        </w:rPr>
      </w:pPr>
      <w:r w:rsidRPr="00384E47">
        <w:rPr>
          <w:rFonts w:ascii="PT Astra Serif" w:hAnsi="PT Astra Serif"/>
          <w:szCs w:val="28"/>
        </w:rPr>
        <w:t xml:space="preserve">Постановление правительства Тульской области от 26.08.2019 № 395 официально опубликовано 26.08.2019 в сетевом издании «Сборник правовых актов Тульской области и иной официальной информации» в информационно-телекоммуникационной сети «Интернет» - </w:t>
      </w:r>
      <w:hyperlink r:id="rId11" w:history="1">
        <w:r w:rsidRPr="00384E47">
          <w:rPr>
            <w:rStyle w:val="a4"/>
            <w:rFonts w:ascii="PT Astra Serif" w:hAnsi="PT Astra Serif"/>
            <w:szCs w:val="28"/>
          </w:rPr>
          <w:t>http://npatula.ru</w:t>
        </w:r>
      </w:hyperlink>
      <w:r w:rsidR="00CB1BE9">
        <w:rPr>
          <w:rStyle w:val="a4"/>
          <w:rFonts w:ascii="PT Astra Serif" w:hAnsi="PT Astra Serif"/>
          <w:szCs w:val="28"/>
        </w:rPr>
        <w:t>.</w:t>
      </w:r>
    </w:p>
    <w:p w:rsidR="00E07E55" w:rsidRPr="00384E47" w:rsidRDefault="00E07E55" w:rsidP="00B0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E47">
        <w:rPr>
          <w:rFonts w:ascii="PT Astra Serif" w:hAnsi="PT Astra Serif"/>
          <w:sz w:val="28"/>
          <w:szCs w:val="28"/>
        </w:rPr>
        <w:t>В соответствии с указанным постановлением правительства Тульской области осуществление мероприятий по проведению государственной кадастровой оценки земель осуществляется государственным бюджетным учреждением Тульской области – ГУ ТО «Областное БТИ».</w:t>
      </w:r>
    </w:p>
    <w:p w:rsidR="00BD1264" w:rsidRPr="00384E47" w:rsidRDefault="00BD1264" w:rsidP="00B030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проведения государственной кадастровой оценки и рассмотрения её предварительных результатов определяется Федеральным законом</w:t>
      </w:r>
      <w:r w:rsidR="00E07E55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</w:t>
      </w:r>
      <w:r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03.07.2016 № 237-ФЗ «О государственной кадастровой оценке».</w:t>
      </w:r>
    </w:p>
    <w:p w:rsidR="00CA7C9A" w:rsidRPr="00384E47" w:rsidRDefault="00D02FBB" w:rsidP="00B03003">
      <w:pPr>
        <w:spacing w:after="0" w:line="240" w:lineRule="auto"/>
        <w:ind w:firstLine="709"/>
        <w:jc w:val="both"/>
        <w:rPr>
          <w:rStyle w:val="a6"/>
          <w:rFonts w:ascii="PT Astra Serif" w:eastAsia="Andale Sans UI" w:hAnsi="PT Astra Serif"/>
          <w:sz w:val="28"/>
          <w:szCs w:val="28"/>
        </w:rPr>
      </w:pPr>
      <w:r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8334C4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</w:t>
      </w:r>
      <w:r w:rsidR="001A5BCF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D1264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указанным </w:t>
      </w:r>
      <w:r w:rsidR="001A5BCF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Федеральным законом ГУ ТО «Областное БТИ» </w:t>
      </w:r>
      <w:r w:rsidR="008334C4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осуществляет прием и рассмотрение деклараций о характеристиках объектов недвижимости, поданных правообладателями объектов недвижимости по форме</w:t>
      </w:r>
      <w:r w:rsidR="00E1428D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8334C4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утвержденной </w:t>
      </w:r>
      <w:r w:rsidR="00B03003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CA7C9A" w:rsidRPr="00384E47">
        <w:rPr>
          <w:rStyle w:val="a6"/>
          <w:rFonts w:ascii="PT Astra Serif" w:eastAsia="Andale Sans UI" w:hAnsi="PT Astra Serif"/>
          <w:sz w:val="28"/>
          <w:szCs w:val="28"/>
        </w:rPr>
        <w:t>риказом Минэкономразвития Росси</w:t>
      </w:r>
      <w:r w:rsidR="008334C4" w:rsidRPr="00384E47">
        <w:rPr>
          <w:rStyle w:val="a6"/>
          <w:rFonts w:ascii="PT Astra Serif" w:eastAsia="Andale Sans UI" w:hAnsi="PT Astra Serif"/>
          <w:sz w:val="28"/>
          <w:szCs w:val="28"/>
        </w:rPr>
        <w:t>и</w:t>
      </w:r>
      <w:r w:rsidR="00CA7C9A" w:rsidRPr="00384E47">
        <w:rPr>
          <w:rStyle w:val="a6"/>
          <w:rFonts w:ascii="PT Astra Serif" w:eastAsia="Andale Sans UI" w:hAnsi="PT Astra Serif"/>
          <w:sz w:val="28"/>
          <w:szCs w:val="28"/>
        </w:rPr>
        <w:t xml:space="preserve"> от 27.12.2016</w:t>
      </w:r>
      <w:r w:rsidR="00B03003" w:rsidRPr="00384E47">
        <w:rPr>
          <w:rStyle w:val="a6"/>
          <w:rFonts w:ascii="PT Astra Serif" w:eastAsia="Andale Sans UI" w:hAnsi="PT Astra Serif"/>
          <w:sz w:val="28"/>
          <w:szCs w:val="28"/>
        </w:rPr>
        <w:t xml:space="preserve">    </w:t>
      </w:r>
      <w:r w:rsidR="00CA7C9A" w:rsidRPr="00384E47">
        <w:rPr>
          <w:rStyle w:val="a6"/>
          <w:rFonts w:ascii="PT Astra Serif" w:eastAsia="Andale Sans UI" w:hAnsi="PT Astra Serif"/>
          <w:sz w:val="28"/>
          <w:szCs w:val="28"/>
        </w:rPr>
        <w:t xml:space="preserve"> № 846 «Об утверждении Порядка рассмотрения декларации о</w:t>
      </w:r>
      <w:r w:rsidR="00A94352" w:rsidRPr="00384E47">
        <w:rPr>
          <w:rStyle w:val="a6"/>
          <w:rFonts w:ascii="PT Astra Serif" w:eastAsia="Andale Sans UI" w:hAnsi="PT Astra Serif"/>
          <w:sz w:val="28"/>
          <w:szCs w:val="28"/>
        </w:rPr>
        <w:t> </w:t>
      </w:r>
      <w:r w:rsidR="00CA7C9A" w:rsidRPr="00384E47">
        <w:rPr>
          <w:rStyle w:val="a6"/>
          <w:rFonts w:ascii="PT Astra Serif" w:eastAsia="Andale Sans UI" w:hAnsi="PT Astra Serif"/>
          <w:sz w:val="28"/>
          <w:szCs w:val="28"/>
        </w:rPr>
        <w:t>характеристиках объекта недвижимости, в</w:t>
      </w:r>
      <w:r w:rsidR="008334C4" w:rsidRPr="00384E47">
        <w:rPr>
          <w:rStyle w:val="a6"/>
          <w:rFonts w:ascii="PT Astra Serif" w:eastAsia="Andale Sans UI" w:hAnsi="PT Astra Serif"/>
          <w:sz w:val="28"/>
          <w:szCs w:val="28"/>
        </w:rPr>
        <w:t> </w:t>
      </w:r>
      <w:r w:rsidR="00CA7C9A" w:rsidRPr="00384E47">
        <w:rPr>
          <w:rStyle w:val="a6"/>
          <w:rFonts w:ascii="PT Astra Serif" w:eastAsia="Andale Sans UI" w:hAnsi="PT Astra Serif"/>
          <w:sz w:val="28"/>
          <w:szCs w:val="28"/>
        </w:rPr>
        <w:t>том числе ее формы».</w:t>
      </w:r>
    </w:p>
    <w:p w:rsidR="00CA7C9A" w:rsidRPr="00384E47" w:rsidRDefault="00CA7C9A" w:rsidP="00B03003">
      <w:pPr>
        <w:spacing w:after="0" w:line="240" w:lineRule="auto"/>
        <w:ind w:firstLine="709"/>
        <w:jc w:val="both"/>
        <w:rPr>
          <w:rStyle w:val="a6"/>
          <w:rFonts w:ascii="PT Astra Serif" w:eastAsia="Andale Sans UI" w:hAnsi="PT Astra Serif"/>
          <w:sz w:val="28"/>
        </w:rPr>
      </w:pPr>
      <w:r w:rsidRPr="00384E47">
        <w:rPr>
          <w:rStyle w:val="a6"/>
          <w:rFonts w:ascii="PT Astra Serif" w:eastAsia="Andale Sans UI" w:hAnsi="PT Astra Serif"/>
          <w:sz w:val="28"/>
          <w:szCs w:val="28"/>
        </w:rPr>
        <w:t xml:space="preserve">Подать декларацию </w:t>
      </w:r>
      <w:r w:rsidR="008334C4" w:rsidRPr="00384E47">
        <w:rPr>
          <w:rStyle w:val="a6"/>
          <w:rFonts w:ascii="PT Astra Serif" w:eastAsia="Andale Sans UI" w:hAnsi="PT Astra Serif"/>
          <w:sz w:val="28"/>
          <w:szCs w:val="28"/>
        </w:rPr>
        <w:t>возможно</w:t>
      </w:r>
      <w:r w:rsidRPr="00384E47">
        <w:rPr>
          <w:rStyle w:val="a6"/>
          <w:rFonts w:ascii="PT Astra Serif" w:eastAsia="Andale Sans UI" w:hAnsi="PT Astra Serif"/>
          <w:sz w:val="28"/>
          <w:szCs w:val="28"/>
        </w:rPr>
        <w:t xml:space="preserve"> следующими способами:</w:t>
      </w:r>
    </w:p>
    <w:p w:rsidR="00CA7C9A" w:rsidRPr="00384E47" w:rsidRDefault="001A5BCF" w:rsidP="00B03003">
      <w:pPr>
        <w:pStyle w:val="Standard"/>
        <w:tabs>
          <w:tab w:val="left" w:pos="625"/>
          <w:tab w:val="left" w:pos="2268"/>
          <w:tab w:val="left" w:pos="3360"/>
        </w:tabs>
        <w:ind w:firstLine="709"/>
        <w:jc w:val="both"/>
        <w:textAlignment w:val="auto"/>
        <w:rPr>
          <w:rStyle w:val="a6"/>
          <w:rFonts w:ascii="PT Astra Serif" w:eastAsia="Andale Sans UI" w:hAnsi="PT Astra Serif"/>
          <w:sz w:val="28"/>
        </w:rPr>
      </w:pPr>
      <w:r w:rsidRPr="00384E47">
        <w:rPr>
          <w:rStyle w:val="a6"/>
          <w:rFonts w:ascii="PT Astra Serif" w:eastAsia="Andale Sans UI" w:hAnsi="PT Astra Serif"/>
          <w:sz w:val="28"/>
        </w:rPr>
        <w:t xml:space="preserve">-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при обращении в ГУ ТО «Областное БТИ» по адресу: г. </w:t>
      </w:r>
      <w:proofErr w:type="gramStart"/>
      <w:r w:rsidR="00CA7C9A" w:rsidRPr="00384E47">
        <w:rPr>
          <w:rStyle w:val="a6"/>
          <w:rFonts w:ascii="PT Astra Serif" w:eastAsia="Andale Sans UI" w:hAnsi="PT Astra Serif"/>
          <w:sz w:val="28"/>
        </w:rPr>
        <w:t xml:space="preserve">Тула, </w:t>
      </w:r>
      <w:r w:rsidR="00B03003" w:rsidRPr="00384E47">
        <w:rPr>
          <w:rStyle w:val="a6"/>
          <w:rFonts w:ascii="PT Astra Serif" w:eastAsia="Andale Sans UI" w:hAnsi="PT Astra Serif"/>
          <w:sz w:val="28"/>
        </w:rPr>
        <w:t xml:space="preserve">  </w:t>
      </w:r>
      <w:proofErr w:type="gramEnd"/>
      <w:r w:rsidR="00B03003" w:rsidRPr="00384E47">
        <w:rPr>
          <w:rStyle w:val="a6"/>
          <w:rFonts w:ascii="PT Astra Serif" w:eastAsia="Andale Sans UI" w:hAnsi="PT Astra Serif"/>
          <w:sz w:val="28"/>
        </w:rPr>
        <w:t xml:space="preserve">               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ул.</w:t>
      </w:r>
      <w:r w:rsidR="00B03003" w:rsidRPr="00384E47">
        <w:rPr>
          <w:rStyle w:val="a6"/>
          <w:rFonts w:ascii="PT Astra Serif" w:eastAsia="Andale Sans UI" w:hAnsi="PT Astra Serif"/>
          <w:sz w:val="28"/>
        </w:rPr>
        <w:t xml:space="preserve"> </w:t>
      </w:r>
      <w:r w:rsidR="00A94352" w:rsidRPr="00384E47">
        <w:rPr>
          <w:rStyle w:val="a6"/>
          <w:rFonts w:ascii="PT Astra Serif" w:eastAsia="Andale Sans UI" w:hAnsi="PT Astra Serif"/>
          <w:sz w:val="28"/>
        </w:rPr>
        <w:t> 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Л.</w:t>
      </w:r>
      <w:r w:rsidR="00B03003" w:rsidRPr="00384E47">
        <w:rPr>
          <w:rStyle w:val="a6"/>
          <w:rFonts w:ascii="PT Astra Serif" w:eastAsia="Andale Sans UI" w:hAnsi="PT Astra Serif"/>
          <w:sz w:val="28"/>
        </w:rPr>
        <w:t xml:space="preserve">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 xml:space="preserve">Толстого, д. 114а или в любое </w:t>
      </w:r>
      <w:r w:rsidR="00D02FBB" w:rsidRPr="00384E47">
        <w:rPr>
          <w:rStyle w:val="a6"/>
          <w:rFonts w:ascii="PT Astra Serif" w:eastAsia="Andale Sans UI" w:hAnsi="PT Astra Serif"/>
          <w:sz w:val="28"/>
        </w:rPr>
        <w:t>структурное подразделение</w:t>
      </w:r>
      <w:r w:rsidR="00E1428D" w:rsidRPr="00384E47">
        <w:rPr>
          <w:rStyle w:val="a6"/>
          <w:rFonts w:ascii="PT Astra Serif" w:eastAsia="Andale Sans UI" w:hAnsi="PT Astra Serif"/>
          <w:sz w:val="28"/>
        </w:rPr>
        <w:t xml:space="preserve"> </w:t>
      </w:r>
      <w:r w:rsidR="00B10275" w:rsidRPr="00384E47">
        <w:rPr>
          <w:rStyle w:val="a6"/>
          <w:rFonts w:ascii="PT Astra Serif" w:eastAsia="Andale Sans UI" w:hAnsi="PT Astra Serif"/>
          <w:sz w:val="28"/>
        </w:rPr>
        <w:t xml:space="preserve">учреждения </w:t>
      </w:r>
      <w:r w:rsidR="00E1428D" w:rsidRPr="00384E47">
        <w:rPr>
          <w:rStyle w:val="a6"/>
          <w:rFonts w:ascii="PT Astra Serif" w:eastAsia="Andale Sans UI" w:hAnsi="PT Astra Serif"/>
          <w:sz w:val="28"/>
        </w:rPr>
        <w:t xml:space="preserve">на территории Тульской области (адреса структурных подразделений размещены на сайте учреждения </w: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 xml:space="preserve"> 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 xml:space="preserve"> "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http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>://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bti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>-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tula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>.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ru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 xml:space="preserve">/" 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http</w:t>
      </w:r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://</w:t>
      </w:r>
      <w:proofErr w:type="spellStart"/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bti</w:t>
      </w:r>
      <w:proofErr w:type="spellEnd"/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-</w:t>
      </w:r>
      <w:proofErr w:type="spellStart"/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tula</w:t>
      </w:r>
      <w:proofErr w:type="spellEnd"/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spellStart"/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E1428D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/</w: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fldChar w:fldCharType="end"/>
      </w:r>
      <w:r w:rsidR="00E1428D" w:rsidRPr="00384E47">
        <w:rPr>
          <w:rStyle w:val="a4"/>
          <w:rFonts w:ascii="PT Astra Serif" w:hAnsi="PT Astra Serif" w:cs="Times New Roman"/>
          <w:sz w:val="28"/>
          <w:szCs w:val="28"/>
          <w:u w:val="none"/>
          <w:shd w:val="clear" w:color="auto" w:fill="FFFFFF"/>
        </w:rPr>
        <w:t>;</w:t>
      </w:r>
      <w:r w:rsidR="00E1428D" w:rsidRPr="00384E47">
        <w:rPr>
          <w:rFonts w:ascii="PT Astra Serif" w:hAnsi="PT Astra Serif" w:cs="Times New Roman"/>
          <w:sz w:val="28"/>
          <w:szCs w:val="28"/>
        </w:rPr>
        <w:t xml:space="preserve"> режим работы учреждения: понедельник-четверг - с 9:00 до 18:00, пятница - с 9:00 до 17:00)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;</w:t>
      </w:r>
    </w:p>
    <w:p w:rsidR="00CA7C9A" w:rsidRPr="00384E47" w:rsidRDefault="001A5BCF" w:rsidP="00B03003">
      <w:pPr>
        <w:spacing w:after="0" w:line="240" w:lineRule="auto"/>
        <w:ind w:firstLine="709"/>
        <w:jc w:val="both"/>
        <w:rPr>
          <w:rStyle w:val="a6"/>
          <w:rFonts w:ascii="PT Astra Serif" w:eastAsia="Andale Sans UI" w:hAnsi="PT Astra Serif"/>
          <w:sz w:val="28"/>
        </w:rPr>
      </w:pPr>
      <w:r w:rsidRPr="00384E47">
        <w:rPr>
          <w:rStyle w:val="a6"/>
          <w:rFonts w:ascii="PT Astra Serif" w:eastAsia="Andale Sans UI" w:hAnsi="PT Astra Serif"/>
          <w:sz w:val="28"/>
        </w:rPr>
        <w:t xml:space="preserve">-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почтовым отправлением по адресу: 300034, г. Тула, ул. Л.</w:t>
      </w:r>
      <w:r w:rsidR="00B03003" w:rsidRPr="00384E47">
        <w:rPr>
          <w:rStyle w:val="a6"/>
          <w:rFonts w:ascii="PT Astra Serif" w:eastAsia="Andale Sans UI" w:hAnsi="PT Astra Serif"/>
          <w:sz w:val="28"/>
        </w:rPr>
        <w:t xml:space="preserve">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Толстого, д.</w:t>
      </w:r>
      <w:r w:rsidR="007F4E64" w:rsidRPr="00384E47">
        <w:rPr>
          <w:rStyle w:val="a6"/>
          <w:rFonts w:ascii="PT Astra Serif" w:eastAsia="Andale Sans UI" w:hAnsi="PT Astra Serif"/>
          <w:sz w:val="28"/>
        </w:rPr>
        <w:t> 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114а;</w:t>
      </w:r>
    </w:p>
    <w:p w:rsidR="008334C4" w:rsidRPr="00384E47" w:rsidRDefault="001A5BCF" w:rsidP="00B03003">
      <w:pPr>
        <w:spacing w:after="0" w:line="240" w:lineRule="auto"/>
        <w:ind w:firstLine="709"/>
        <w:jc w:val="both"/>
        <w:rPr>
          <w:rStyle w:val="a6"/>
          <w:rFonts w:ascii="PT Astra Serif" w:eastAsia="Andale Sans UI" w:hAnsi="PT Astra Serif"/>
          <w:sz w:val="28"/>
        </w:rPr>
      </w:pPr>
      <w:r w:rsidRPr="00384E47">
        <w:rPr>
          <w:rStyle w:val="a6"/>
          <w:rFonts w:ascii="PT Astra Serif" w:eastAsia="Andale Sans UI" w:hAnsi="PT Astra Serif"/>
          <w:sz w:val="28"/>
        </w:rPr>
        <w:t xml:space="preserve">-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 xml:space="preserve">в форме электронного документа </w:t>
      </w:r>
      <w:r w:rsidR="00887BE6">
        <w:rPr>
          <w:rStyle w:val="a6"/>
          <w:rFonts w:ascii="PT Astra Serif" w:eastAsia="Andale Sans UI" w:hAnsi="PT Astra Serif"/>
          <w:sz w:val="28"/>
        </w:rPr>
        <w:t xml:space="preserve">на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 xml:space="preserve">адрес электронной почты: </w:t>
      </w:r>
      <w:hyperlink r:id="rId12" w:history="1">
        <w:r w:rsidR="00CA7C9A" w:rsidRPr="00384E47">
          <w:rPr>
            <w:rStyle w:val="a6"/>
            <w:rFonts w:ascii="PT Astra Serif" w:eastAsia="Andale Sans UI" w:hAnsi="PT Astra Serif"/>
            <w:sz w:val="28"/>
          </w:rPr>
          <w:t>infobti@tularegion.org</w:t>
        </w:r>
      </w:hyperlink>
      <w:r w:rsidR="007F4E64" w:rsidRPr="00384E47">
        <w:rPr>
          <w:rStyle w:val="a6"/>
          <w:rFonts w:ascii="PT Astra Serif" w:eastAsia="Andale Sans UI" w:hAnsi="PT Astra Serif"/>
          <w:sz w:val="28"/>
        </w:rPr>
        <w:t>.</w:t>
      </w:r>
    </w:p>
    <w:p w:rsidR="008334C4" w:rsidRPr="00384E47" w:rsidRDefault="001A5BCF" w:rsidP="00B03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4E47">
        <w:rPr>
          <w:rStyle w:val="a6"/>
          <w:rFonts w:ascii="PT Astra Serif" w:eastAsia="Andale Sans UI" w:hAnsi="PT Astra Serif"/>
          <w:sz w:val="28"/>
        </w:rPr>
        <w:t xml:space="preserve">- </w:t>
      </w:r>
      <w:r w:rsidR="008334C4" w:rsidRPr="00384E47">
        <w:rPr>
          <w:rStyle w:val="a6"/>
          <w:rFonts w:ascii="PT Astra Serif" w:eastAsia="Andale Sans UI" w:hAnsi="PT Astra Serif"/>
          <w:sz w:val="28"/>
        </w:rPr>
        <w:t>н</w:t>
      </w:r>
      <w:r w:rsidR="008334C4" w:rsidRPr="00384E47">
        <w:rPr>
          <w:rStyle w:val="21"/>
          <w:rFonts w:ascii="PT Astra Serif" w:eastAsia="Andale Sans UI" w:hAnsi="PT Astra Serif"/>
          <w:sz w:val="28"/>
          <w:szCs w:val="28"/>
          <w:shd w:val="clear" w:color="auto" w:fill="FFFFFF"/>
        </w:rPr>
        <w:t xml:space="preserve">а </w:t>
      </w:r>
      <w:proofErr w:type="gramStart"/>
      <w:r w:rsidR="008334C4" w:rsidRPr="00384E47">
        <w:rPr>
          <w:rStyle w:val="21"/>
          <w:rFonts w:ascii="PT Astra Serif" w:eastAsia="Andale Sans UI" w:hAnsi="PT Astra Serif"/>
          <w:sz w:val="28"/>
          <w:szCs w:val="28"/>
          <w:shd w:val="clear" w:color="auto" w:fill="FFFFFF"/>
        </w:rPr>
        <w:t xml:space="preserve">сайте </w:t>
      </w:r>
      <w:bookmarkStart w:id="0" w:name="_GoBack"/>
      <w:bookmarkEnd w:id="0"/>
      <w:proofErr w:type="gramEnd"/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 xml:space="preserve"> 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 xml:space="preserve"> "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http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>://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bti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>-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tula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>.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instrText>ru</w:instrText>
      </w:r>
      <w:r w:rsidR="000163B5" w:rsidRPr="00CA6044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instrText xml:space="preserve">/" </w:instrTex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http</w:t>
      </w:r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://</w:t>
      </w:r>
      <w:proofErr w:type="spellStart"/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bti</w:t>
      </w:r>
      <w:proofErr w:type="spellEnd"/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-</w:t>
      </w:r>
      <w:proofErr w:type="spellStart"/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tula</w:t>
      </w:r>
      <w:proofErr w:type="spellEnd"/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spellStart"/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8334C4" w:rsidRPr="00384E4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/</w:t>
      </w:r>
      <w:r w:rsidR="000163B5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fldChar w:fldCharType="end"/>
      </w:r>
    </w:p>
    <w:p w:rsidR="00E1428D" w:rsidRPr="00384E47" w:rsidRDefault="00E1428D" w:rsidP="00B03003">
      <w:pPr>
        <w:pStyle w:val="Standard"/>
        <w:tabs>
          <w:tab w:val="left" w:pos="2268"/>
          <w:tab w:val="left" w:pos="3360"/>
        </w:tabs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384E47">
        <w:rPr>
          <w:rStyle w:val="21"/>
          <w:rFonts w:ascii="PT Astra Serif" w:eastAsia="Andale Sans UI" w:hAnsi="PT Astra Serif"/>
          <w:sz w:val="28"/>
          <w:szCs w:val="28"/>
          <w:shd w:val="clear" w:color="auto" w:fill="FFFFFF"/>
        </w:rPr>
        <w:t xml:space="preserve">С подробной информацией о порядке подачи и рассмотрения декларации   </w:t>
      </w:r>
      <w:r w:rsidRPr="00384E47">
        <w:rPr>
          <w:rStyle w:val="21"/>
          <w:rFonts w:ascii="PT Astra Serif" w:eastAsia="Andale Sans UI" w:hAnsi="PT Astra Serif"/>
          <w:sz w:val="28"/>
          <w:szCs w:val="28"/>
          <w:shd w:val="clear" w:color="auto" w:fill="FFFFFF"/>
        </w:rPr>
        <w:lastRenderedPageBreak/>
        <w:t xml:space="preserve">об объекте недвижимости возможно ознакомиться на сайте </w:t>
      </w:r>
      <w:hyperlink r:id="rId13" w:history="1"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bti</w:t>
        </w:r>
        <w:proofErr w:type="spellEnd"/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tula</w:t>
        </w:r>
        <w:proofErr w:type="spellEnd"/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</w:p>
    <w:p w:rsidR="00A95FC7" w:rsidRPr="00384E47" w:rsidRDefault="00A94352" w:rsidP="00B03003">
      <w:pPr>
        <w:pStyle w:val="Standard"/>
        <w:tabs>
          <w:tab w:val="left" w:pos="2268"/>
          <w:tab w:val="left" w:pos="3360"/>
        </w:tabs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384E47">
        <w:rPr>
          <w:rFonts w:ascii="PT Astra Serif" w:hAnsi="PT Astra Serif" w:cs="Times New Roman"/>
          <w:sz w:val="28"/>
          <w:szCs w:val="28"/>
        </w:rPr>
        <w:t>Телефон «горячей линии»</w:t>
      </w:r>
      <w:r w:rsidR="00E1428D" w:rsidRPr="00384E47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Pr="00384E47">
        <w:rPr>
          <w:rFonts w:ascii="PT Astra Serif" w:hAnsi="PT Astra Serif" w:cs="Times New Roman"/>
          <w:sz w:val="28"/>
          <w:szCs w:val="28"/>
        </w:rPr>
        <w:t>: 8</w:t>
      </w:r>
      <w:r w:rsidR="00E1428D" w:rsidRPr="00384E47">
        <w:rPr>
          <w:rFonts w:ascii="PT Astra Serif" w:hAnsi="PT Astra Serif" w:cs="Times New Roman"/>
          <w:sz w:val="28"/>
          <w:szCs w:val="28"/>
        </w:rPr>
        <w:t xml:space="preserve"> </w:t>
      </w:r>
      <w:r w:rsidRPr="00384E47">
        <w:rPr>
          <w:rFonts w:ascii="PT Astra Serif" w:hAnsi="PT Astra Serif" w:cs="Times New Roman"/>
          <w:sz w:val="28"/>
          <w:szCs w:val="28"/>
        </w:rPr>
        <w:t>(4872) 24-51-04  доб. 76-76</w:t>
      </w:r>
      <w:r w:rsidR="00B10275" w:rsidRPr="00384E47">
        <w:rPr>
          <w:rFonts w:ascii="PT Astra Serif" w:hAnsi="PT Astra Serif" w:cs="Times New Roman"/>
          <w:sz w:val="28"/>
          <w:szCs w:val="28"/>
        </w:rPr>
        <w:t>.</w:t>
      </w:r>
    </w:p>
    <w:p w:rsidR="001A5BCF" w:rsidRPr="00384E47" w:rsidRDefault="00E1428D" w:rsidP="00B030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Извещение публикуется в соответствии с </w:t>
      </w:r>
      <w:r w:rsidR="001A5BCF" w:rsidRPr="0038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частью 5 статьи 11 Федерального закона от 03.07.2016 № 237-ФЗ «О государственной кадастровой оценке». </w:t>
      </w:r>
    </w:p>
    <w:sectPr w:rsidR="001A5BCF" w:rsidRPr="00384E47" w:rsidSect="0063652F">
      <w:headerReference w:type="default" r:id="rId14"/>
      <w:pgSz w:w="11906" w:h="16838"/>
      <w:pgMar w:top="680" w:right="680" w:bottom="68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B5" w:rsidRDefault="000163B5" w:rsidP="00A95FC7">
      <w:pPr>
        <w:spacing w:after="0" w:line="240" w:lineRule="auto"/>
      </w:pPr>
      <w:r>
        <w:separator/>
      </w:r>
    </w:p>
  </w:endnote>
  <w:endnote w:type="continuationSeparator" w:id="0">
    <w:p w:rsidR="000163B5" w:rsidRDefault="000163B5" w:rsidP="00A9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B5" w:rsidRDefault="000163B5" w:rsidP="00A95FC7">
      <w:pPr>
        <w:spacing w:after="0" w:line="240" w:lineRule="auto"/>
      </w:pPr>
      <w:r>
        <w:separator/>
      </w:r>
    </w:p>
  </w:footnote>
  <w:footnote w:type="continuationSeparator" w:id="0">
    <w:p w:rsidR="000163B5" w:rsidRDefault="000163B5" w:rsidP="00A9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4728"/>
      <w:docPartObj>
        <w:docPartGallery w:val="Page Numbers (Top of Page)"/>
        <w:docPartUnique/>
      </w:docPartObj>
    </w:sdtPr>
    <w:sdtEndPr/>
    <w:sdtContent>
      <w:p w:rsidR="00E07E55" w:rsidRDefault="00E07E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44">
          <w:rPr>
            <w:noProof/>
          </w:rPr>
          <w:t>2</w:t>
        </w:r>
        <w:r>
          <w:fldChar w:fldCharType="end"/>
        </w:r>
      </w:p>
    </w:sdtContent>
  </w:sdt>
  <w:p w:rsidR="00A95FC7" w:rsidRDefault="00A95FC7" w:rsidP="00A95FC7">
    <w:pPr>
      <w:pStyle w:val="a9"/>
      <w:tabs>
        <w:tab w:val="clear" w:pos="4677"/>
        <w:tab w:val="clear" w:pos="9355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8C5"/>
    <w:multiLevelType w:val="hybridMultilevel"/>
    <w:tmpl w:val="AA9A50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C"/>
    <w:rsid w:val="000163B5"/>
    <w:rsid w:val="00077D3B"/>
    <w:rsid w:val="0013707C"/>
    <w:rsid w:val="001A5BCF"/>
    <w:rsid w:val="001C6AED"/>
    <w:rsid w:val="0036134D"/>
    <w:rsid w:val="00384E47"/>
    <w:rsid w:val="003C2E5D"/>
    <w:rsid w:val="005819FC"/>
    <w:rsid w:val="0063652F"/>
    <w:rsid w:val="00645130"/>
    <w:rsid w:val="00674D61"/>
    <w:rsid w:val="00702530"/>
    <w:rsid w:val="00713655"/>
    <w:rsid w:val="00762442"/>
    <w:rsid w:val="00762F2F"/>
    <w:rsid w:val="007F4E64"/>
    <w:rsid w:val="00824F9B"/>
    <w:rsid w:val="008334C4"/>
    <w:rsid w:val="00887BE6"/>
    <w:rsid w:val="009171DC"/>
    <w:rsid w:val="00943B62"/>
    <w:rsid w:val="00993EDA"/>
    <w:rsid w:val="00A422F3"/>
    <w:rsid w:val="00A94352"/>
    <w:rsid w:val="00A95FC7"/>
    <w:rsid w:val="00B03003"/>
    <w:rsid w:val="00B10275"/>
    <w:rsid w:val="00B3394B"/>
    <w:rsid w:val="00BD1264"/>
    <w:rsid w:val="00C46237"/>
    <w:rsid w:val="00C611F9"/>
    <w:rsid w:val="00CA6044"/>
    <w:rsid w:val="00CA7C9A"/>
    <w:rsid w:val="00CB1BE9"/>
    <w:rsid w:val="00CC4C17"/>
    <w:rsid w:val="00CE4AB6"/>
    <w:rsid w:val="00CE5CC5"/>
    <w:rsid w:val="00D02FBB"/>
    <w:rsid w:val="00D71D86"/>
    <w:rsid w:val="00D771DF"/>
    <w:rsid w:val="00E07E55"/>
    <w:rsid w:val="00E1428D"/>
    <w:rsid w:val="00E9469E"/>
    <w:rsid w:val="00EB4193"/>
    <w:rsid w:val="00ED594F"/>
    <w:rsid w:val="00EF4FB8"/>
    <w:rsid w:val="00F05BE8"/>
    <w:rsid w:val="00F130CB"/>
    <w:rsid w:val="00F55820"/>
    <w:rsid w:val="00F613C3"/>
    <w:rsid w:val="00FD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80513-F86C-4423-9D2C-38EC3A4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B6"/>
  </w:style>
  <w:style w:type="paragraph" w:styleId="1">
    <w:name w:val="heading 1"/>
    <w:basedOn w:val="a"/>
    <w:link w:val="10"/>
    <w:uiPriority w:val="9"/>
    <w:qFormat/>
    <w:rsid w:val="00F0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05BE8"/>
  </w:style>
  <w:style w:type="character" w:customStyle="1" w:styleId="10">
    <w:name w:val="Заголовок 1 Знак"/>
    <w:basedOn w:val="a0"/>
    <w:link w:val="1"/>
    <w:uiPriority w:val="9"/>
    <w:rsid w:val="00F05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05B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5BE8"/>
    <w:rPr>
      <w:i/>
      <w:iCs/>
    </w:rPr>
  </w:style>
  <w:style w:type="paragraph" w:customStyle="1" w:styleId="Standard">
    <w:name w:val="Standard"/>
    <w:rsid w:val="00CA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_"/>
    <w:basedOn w:val="a0"/>
    <w:rsid w:val="00CA7C9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21">
    <w:name w:val="Основной текст2"/>
    <w:basedOn w:val="a6"/>
    <w:rsid w:val="00A9435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C6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1F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FC7"/>
  </w:style>
  <w:style w:type="paragraph" w:styleId="ab">
    <w:name w:val="footer"/>
    <w:basedOn w:val="a"/>
    <w:link w:val="ac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FC7"/>
  </w:style>
  <w:style w:type="paragraph" w:styleId="ad">
    <w:name w:val="Body Text"/>
    <w:basedOn w:val="a"/>
    <w:link w:val="ae"/>
    <w:rsid w:val="00E07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07E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1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23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61A2D6C86E6AD3AA1F12E8B2441CA3A925C90B8C7BAE416CF6E1169AFA5B8F4284F4AB14D8D8DCFF35F64EE97543B5217B1EM6i8O" TargetMode="External"/><Relationship Id="rId13" Type="http://schemas.openxmlformats.org/officeDocument/2006/relationships/hyperlink" Target="http://bti-tula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6361A2D6C86E6AD3AA1F12E8B2441CA3A925C90B8C7BAE416CF6E1169AFA5B8F4284F0AC1F8A8891A16CA503A27846A23D7B187FFB6F09M6i0O" TargetMode="External"/><Relationship Id="rId12" Type="http://schemas.openxmlformats.org/officeDocument/2006/relationships/hyperlink" Target="mailto:infobti@tulareg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tul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6361A2D6C86E6AD3AA1F12E8B2441CA3A925C90B8C7BAE416CF6E1169AFA5B8F4284F0AC1F848998A16CA503A27846A23D7B187FFB6F09M6i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361A2D6C86E6AD3AA1F12E8B2441CA3A925C90B8C7BAE416CF6E1169AFA5B8F4284F0AC1F8B899DA16CA503A27846A23D7B187FFB6F09M6i0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Згурская Жанна Владимировна</cp:lastModifiedBy>
  <cp:revision>2</cp:revision>
  <cp:lastPrinted>2019-09-05T06:23:00Z</cp:lastPrinted>
  <dcterms:created xsi:type="dcterms:W3CDTF">2019-09-05T14:46:00Z</dcterms:created>
  <dcterms:modified xsi:type="dcterms:W3CDTF">2019-09-05T14:46:00Z</dcterms:modified>
</cp:coreProperties>
</file>